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A4D500" w14:textId="77777777" w:rsidR="00CA5D47" w:rsidRDefault="003A4571" w:rsidP="00CA5D47">
      <w:pPr>
        <w:jc w:val="center"/>
        <w:rPr>
          <w:sz w:val="28"/>
          <w:szCs w:val="28"/>
        </w:rPr>
      </w:pPr>
      <w:r w:rsidRPr="00005E9A">
        <w:rPr>
          <w:sz w:val="28"/>
          <w:szCs w:val="28"/>
        </w:rPr>
        <w:t>Observatoire des prix de bois</w:t>
      </w:r>
      <w:r w:rsidR="00005E9A" w:rsidRPr="00005E9A">
        <w:rPr>
          <w:sz w:val="28"/>
          <w:szCs w:val="28"/>
        </w:rPr>
        <w:t xml:space="preserve"> rond</w:t>
      </w:r>
      <w:r w:rsidR="00005E9A">
        <w:rPr>
          <w:sz w:val="28"/>
          <w:szCs w:val="28"/>
        </w:rPr>
        <w:t>s</w:t>
      </w:r>
      <w:r w:rsidR="00B75611">
        <w:rPr>
          <w:sz w:val="28"/>
          <w:szCs w:val="28"/>
        </w:rPr>
        <w:t xml:space="preserve"> rendus</w:t>
      </w:r>
    </w:p>
    <w:p w14:paraId="188B79FC" w14:textId="3BEA4D50" w:rsidR="00A32A87" w:rsidRDefault="00CA5D47" w:rsidP="00CA5D47">
      <w:pPr>
        <w:jc w:val="center"/>
        <w:rPr>
          <w:sz w:val="28"/>
          <w:szCs w:val="28"/>
        </w:rPr>
      </w:pPr>
      <w:proofErr w:type="gramStart"/>
      <w:r>
        <w:rPr>
          <w:sz w:val="28"/>
          <w:szCs w:val="28"/>
        </w:rPr>
        <w:t>par</w:t>
      </w:r>
      <w:proofErr w:type="gramEnd"/>
      <w:r>
        <w:rPr>
          <w:sz w:val="28"/>
          <w:szCs w:val="28"/>
        </w:rPr>
        <w:t xml:space="preserve"> les coopératives forestières membres de GCF</w:t>
      </w:r>
      <w:r w:rsidR="00B75611">
        <w:rPr>
          <w:sz w:val="28"/>
          <w:szCs w:val="28"/>
        </w:rPr>
        <w:t xml:space="preserve"> </w:t>
      </w:r>
    </w:p>
    <w:p w14:paraId="39D389B2" w14:textId="23E6C3BA" w:rsidR="008C1B62" w:rsidRDefault="000519BE" w:rsidP="00005E9A">
      <w:pPr>
        <w:jc w:val="center"/>
        <w:rPr>
          <w:sz w:val="28"/>
          <w:szCs w:val="28"/>
        </w:rPr>
      </w:pPr>
      <w:r>
        <w:rPr>
          <w:sz w:val="28"/>
          <w:szCs w:val="28"/>
        </w:rPr>
        <w:t>Second</w:t>
      </w:r>
      <w:r w:rsidR="00FF7D69">
        <w:rPr>
          <w:sz w:val="28"/>
          <w:szCs w:val="28"/>
        </w:rPr>
        <w:t xml:space="preserve"> trimestre</w:t>
      </w:r>
      <w:r w:rsidR="00FB777C">
        <w:rPr>
          <w:sz w:val="28"/>
          <w:szCs w:val="28"/>
        </w:rPr>
        <w:t xml:space="preserve"> 20</w:t>
      </w:r>
      <w:r w:rsidR="00522A10">
        <w:rPr>
          <w:sz w:val="28"/>
          <w:szCs w:val="28"/>
        </w:rPr>
        <w:t>20</w:t>
      </w:r>
    </w:p>
    <w:p w14:paraId="035640A4" w14:textId="77777777" w:rsidR="007A0551" w:rsidRDefault="00E0003F" w:rsidP="007A0551">
      <w:pPr>
        <w:numPr>
          <w:ilvl w:val="0"/>
          <w:numId w:val="1"/>
        </w:numPr>
      </w:pPr>
      <w:r>
        <w:t>Le  Chêne en bois d’</w:t>
      </w:r>
      <w:r w:rsidR="00133A7B">
        <w:t>œuvre</w:t>
      </w:r>
    </w:p>
    <w:p w14:paraId="1EFA984A" w14:textId="77777777" w:rsidR="00133A7B" w:rsidRDefault="00133A7B" w:rsidP="00133A7B">
      <w:r>
        <w:t>Analyse portant sur le bois d’œuvre de chêne rendu scierie hors qualité palette emballage, déroulage tranchage et merrain.</w:t>
      </w:r>
    </w:p>
    <w:p w14:paraId="0EB11804" w14:textId="77777777" w:rsidR="00860BCD" w:rsidRDefault="00860BCD" w:rsidP="00860BCD">
      <w:pPr>
        <w:jc w:val="center"/>
        <w:rPr>
          <w:b/>
          <w:i/>
        </w:rPr>
      </w:pPr>
      <w:r w:rsidRPr="00860BCD">
        <w:rPr>
          <w:b/>
          <w:i/>
        </w:rPr>
        <w:t>Evolution du prix moyen du bois d’œuvre rendu</w:t>
      </w:r>
    </w:p>
    <w:p w14:paraId="45C674CF" w14:textId="3257E3B0" w:rsidR="00CA5D47" w:rsidRDefault="00860BCD" w:rsidP="00EF68B5">
      <w:pPr>
        <w:tabs>
          <w:tab w:val="left" w:pos="7513"/>
        </w:tabs>
        <w:rPr>
          <w:color w:val="1F497D"/>
        </w:rPr>
      </w:pPr>
      <w:r w:rsidRPr="00860BCD">
        <w:rPr>
          <w:sz w:val="20"/>
          <w:szCs w:val="20"/>
        </w:rPr>
        <w:t>Volume (en m3)</w:t>
      </w:r>
      <w:r>
        <w:rPr>
          <w:sz w:val="20"/>
          <w:szCs w:val="20"/>
        </w:rPr>
        <w:tab/>
      </w:r>
      <w:r w:rsidR="00C177AE">
        <w:rPr>
          <w:sz w:val="20"/>
          <w:szCs w:val="20"/>
        </w:rPr>
        <w:tab/>
      </w:r>
      <w:r>
        <w:rPr>
          <w:sz w:val="20"/>
          <w:szCs w:val="20"/>
        </w:rPr>
        <w:t>Indice des prix</w:t>
      </w:r>
      <w:r w:rsidR="00765230" w:rsidRPr="00765230">
        <w:rPr>
          <w:noProof/>
          <w:sz w:val="20"/>
          <w:szCs w:val="20"/>
          <w:lang w:eastAsia="fr-FR"/>
        </w:rPr>
        <w:drawing>
          <wp:inline distT="0" distB="0" distL="0" distR="0" wp14:anchorId="10F1A3BC" wp14:editId="514C0470">
            <wp:extent cx="6203950" cy="3214425"/>
            <wp:effectExtent l="0" t="0" r="635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9173" cy="3217131"/>
                    </a:xfrm>
                    <a:prstGeom prst="rect">
                      <a:avLst/>
                    </a:prstGeom>
                    <a:noFill/>
                    <a:ln>
                      <a:noFill/>
                    </a:ln>
                  </pic:spPr>
                </pic:pic>
              </a:graphicData>
            </a:graphic>
          </wp:inline>
        </w:drawing>
      </w:r>
      <w:r w:rsidR="00EF68B5" w:rsidRPr="00EF68B5">
        <w:rPr>
          <w:color w:val="1F497D"/>
        </w:rPr>
        <w:t xml:space="preserve"> </w:t>
      </w:r>
    </w:p>
    <w:p w14:paraId="0F95A9B2" w14:textId="2F8B4AE4" w:rsidR="00CA5D47" w:rsidRPr="00CA5D47" w:rsidRDefault="00CA5D47" w:rsidP="00EF68B5">
      <w:pPr>
        <w:tabs>
          <w:tab w:val="left" w:pos="7513"/>
        </w:tabs>
        <w:rPr>
          <w:sz w:val="18"/>
          <w:szCs w:val="18"/>
        </w:rPr>
      </w:pPr>
      <w:r w:rsidRPr="00CA5D47">
        <w:rPr>
          <w:sz w:val="18"/>
          <w:szCs w:val="18"/>
        </w:rPr>
        <w:t>Indice base 100 au 1</w:t>
      </w:r>
      <w:r w:rsidRPr="00CA5D47">
        <w:rPr>
          <w:sz w:val="18"/>
          <w:szCs w:val="18"/>
          <w:vertAlign w:val="superscript"/>
        </w:rPr>
        <w:t>er</w:t>
      </w:r>
      <w:r w:rsidRPr="00CA5D47">
        <w:rPr>
          <w:sz w:val="18"/>
          <w:szCs w:val="18"/>
        </w:rPr>
        <w:t xml:space="preserve"> trimestre 2008</w:t>
      </w:r>
    </w:p>
    <w:p w14:paraId="1B3A475A" w14:textId="70C6A430" w:rsidR="00EF68B5" w:rsidRPr="00EF68B5" w:rsidRDefault="00EF68B5" w:rsidP="00EF68B5">
      <w:pPr>
        <w:tabs>
          <w:tab w:val="left" w:pos="7513"/>
        </w:tabs>
      </w:pPr>
      <w:r w:rsidRPr="00EF68B5">
        <w:t xml:space="preserve">Marché du chêne de qualité demandeur avec un bon maintien de prix, le secteur de la tonnellerie est </w:t>
      </w:r>
      <w:proofErr w:type="gramStart"/>
      <w:r w:rsidRPr="00EF68B5">
        <w:t>cependant</w:t>
      </w:r>
      <w:proofErr w:type="gramEnd"/>
      <w:r w:rsidRPr="00EF68B5">
        <w:t xml:space="preserve"> dans l’attente de reprise des exportations et de la demande en France.</w:t>
      </w:r>
    </w:p>
    <w:p w14:paraId="3A087472" w14:textId="5339D1EB" w:rsidR="00EF68B5" w:rsidRPr="00EF68B5" w:rsidRDefault="00EF68B5" w:rsidP="00EF68B5">
      <w:r w:rsidRPr="00EF68B5">
        <w:t xml:space="preserve">Les petits bois trouvent preneur à des prix en baisse pour environ 10%. </w:t>
      </w:r>
    </w:p>
    <w:p w14:paraId="26F03C24" w14:textId="77777777" w:rsidR="00E0003F" w:rsidRDefault="00133A7B" w:rsidP="00133A7B">
      <w:pPr>
        <w:numPr>
          <w:ilvl w:val="0"/>
          <w:numId w:val="1"/>
        </w:numPr>
      </w:pPr>
      <w:r>
        <w:rPr>
          <w:color w:val="FF0000"/>
        </w:rPr>
        <w:br w:type="page"/>
      </w:r>
      <w:r w:rsidR="00E0003F">
        <w:t xml:space="preserve">Le  Chêne bois de chauffage </w:t>
      </w:r>
    </w:p>
    <w:p w14:paraId="693FEFF1" w14:textId="77777777" w:rsidR="00133A7B" w:rsidRDefault="00133A7B" w:rsidP="00133A7B">
      <w:r>
        <w:t>Analyse portant sur le bois de chauffage de chêne rendu</w:t>
      </w:r>
      <w:r w:rsidR="00E6474D">
        <w:t>.</w:t>
      </w:r>
    </w:p>
    <w:p w14:paraId="54E4D999" w14:textId="77777777" w:rsidR="00E0003F" w:rsidRDefault="00E0003F" w:rsidP="00E0003F">
      <w:pPr>
        <w:jc w:val="center"/>
        <w:rPr>
          <w:b/>
          <w:i/>
        </w:rPr>
      </w:pPr>
      <w:r w:rsidRPr="00860BCD">
        <w:rPr>
          <w:b/>
          <w:i/>
        </w:rPr>
        <w:t xml:space="preserve">Evolution du prix moyen du bois </w:t>
      </w:r>
      <w:r w:rsidR="00133A7B">
        <w:rPr>
          <w:b/>
          <w:i/>
        </w:rPr>
        <w:t xml:space="preserve">de chauffage </w:t>
      </w:r>
      <w:r w:rsidRPr="00860BCD">
        <w:rPr>
          <w:b/>
          <w:i/>
        </w:rPr>
        <w:t>rendu</w:t>
      </w:r>
    </w:p>
    <w:p w14:paraId="4D554132" w14:textId="069DC4FE" w:rsidR="00234141" w:rsidRPr="005E2775" w:rsidRDefault="00E0003F" w:rsidP="00BF78F7">
      <w:pPr>
        <w:tabs>
          <w:tab w:val="left" w:pos="7513"/>
        </w:tabs>
        <w:rPr>
          <w:color w:val="FF0000"/>
        </w:rPr>
      </w:pPr>
      <w:r w:rsidRPr="00860BCD">
        <w:rPr>
          <w:sz w:val="20"/>
          <w:szCs w:val="20"/>
        </w:rPr>
        <w:t>Volume (en m3)</w:t>
      </w:r>
      <w:r>
        <w:rPr>
          <w:sz w:val="20"/>
          <w:szCs w:val="20"/>
        </w:rPr>
        <w:tab/>
      </w:r>
      <w:r w:rsidR="00C177AE">
        <w:rPr>
          <w:sz w:val="20"/>
          <w:szCs w:val="20"/>
        </w:rPr>
        <w:tab/>
      </w:r>
      <w:r>
        <w:rPr>
          <w:sz w:val="20"/>
          <w:szCs w:val="20"/>
        </w:rPr>
        <w:t>Indice des prix</w:t>
      </w:r>
      <w:r w:rsidR="00BF78F7" w:rsidRPr="00BF78F7">
        <w:rPr>
          <w:noProof/>
          <w:color w:val="FF0000"/>
          <w:lang w:eastAsia="fr-FR"/>
        </w:rPr>
        <w:drawing>
          <wp:inline distT="0" distB="0" distL="0" distR="0" wp14:anchorId="66CE0C26" wp14:editId="33ACC8BD">
            <wp:extent cx="6152515" cy="3006862"/>
            <wp:effectExtent l="0" t="0" r="635"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288" cy="3010172"/>
                    </a:xfrm>
                    <a:prstGeom prst="rect">
                      <a:avLst/>
                    </a:prstGeom>
                    <a:noFill/>
                    <a:ln>
                      <a:noFill/>
                    </a:ln>
                  </pic:spPr>
                </pic:pic>
              </a:graphicData>
            </a:graphic>
          </wp:inline>
        </w:drawing>
      </w:r>
    </w:p>
    <w:p w14:paraId="28CD871E" w14:textId="77777777" w:rsidR="00CA5D47" w:rsidRPr="00CA5D47" w:rsidRDefault="00CA5D47" w:rsidP="00CA5D47">
      <w:pPr>
        <w:tabs>
          <w:tab w:val="left" w:pos="7513"/>
        </w:tabs>
        <w:rPr>
          <w:sz w:val="18"/>
          <w:szCs w:val="18"/>
        </w:rPr>
      </w:pPr>
      <w:r w:rsidRPr="00CA5D47">
        <w:rPr>
          <w:sz w:val="18"/>
          <w:szCs w:val="18"/>
        </w:rPr>
        <w:t>Indice base 100 au 1</w:t>
      </w:r>
      <w:r w:rsidRPr="00CA5D47">
        <w:rPr>
          <w:sz w:val="18"/>
          <w:szCs w:val="18"/>
          <w:vertAlign w:val="superscript"/>
        </w:rPr>
        <w:t>er</w:t>
      </w:r>
      <w:r w:rsidRPr="00CA5D47">
        <w:rPr>
          <w:sz w:val="18"/>
          <w:szCs w:val="18"/>
        </w:rPr>
        <w:t xml:space="preserve"> trimestre 2008</w:t>
      </w:r>
    </w:p>
    <w:p w14:paraId="1C968E3F" w14:textId="53485D05" w:rsidR="00C12F65" w:rsidRPr="001E1AA0" w:rsidRDefault="001E1AA0" w:rsidP="006042E0">
      <w:r w:rsidRPr="001E1AA0">
        <w:t xml:space="preserve">Morte saison pour la consommation du bois de chauffage au 2eme trimestre. </w:t>
      </w:r>
    </w:p>
    <w:p w14:paraId="56DBD197" w14:textId="77777777" w:rsidR="00C12F65" w:rsidRDefault="00C12F65">
      <w:pPr>
        <w:spacing w:after="0" w:line="240" w:lineRule="auto"/>
        <w:rPr>
          <w:color w:val="FF0000"/>
        </w:rPr>
      </w:pPr>
      <w:r>
        <w:rPr>
          <w:color w:val="FF0000"/>
        </w:rPr>
        <w:br w:type="page"/>
      </w:r>
    </w:p>
    <w:p w14:paraId="4A046B5E" w14:textId="77777777" w:rsidR="003F6B47" w:rsidRPr="002D7573" w:rsidRDefault="00CD570E" w:rsidP="003F6B47">
      <w:pPr>
        <w:numPr>
          <w:ilvl w:val="0"/>
          <w:numId w:val="1"/>
        </w:numPr>
      </w:pPr>
      <w:r>
        <w:t xml:space="preserve">Le  Chêne en </w:t>
      </w:r>
      <w:r w:rsidR="003F6B47">
        <w:t>bois d’industrie</w:t>
      </w:r>
    </w:p>
    <w:p w14:paraId="2697C300" w14:textId="77777777" w:rsidR="003F6B47" w:rsidRDefault="003F6B47" w:rsidP="003F6B47">
      <w:pPr>
        <w:rPr>
          <w:b/>
          <w:i/>
        </w:rPr>
      </w:pPr>
      <w:r>
        <w:t xml:space="preserve">Analyse portant sur le bois d’industrie </w:t>
      </w:r>
      <w:r w:rsidR="00CD570E">
        <w:t>de chêne</w:t>
      </w:r>
      <w:r>
        <w:t xml:space="preserve"> rendu usine.</w:t>
      </w:r>
    </w:p>
    <w:p w14:paraId="2720A647" w14:textId="77777777" w:rsidR="003F6B47" w:rsidRDefault="003F6B47" w:rsidP="003F6B47">
      <w:pPr>
        <w:jc w:val="center"/>
        <w:rPr>
          <w:b/>
          <w:i/>
        </w:rPr>
      </w:pPr>
      <w:r w:rsidRPr="00860BCD">
        <w:rPr>
          <w:b/>
          <w:i/>
        </w:rPr>
        <w:t>Evolution du prix moyen du bois d’</w:t>
      </w:r>
      <w:r>
        <w:rPr>
          <w:b/>
          <w:i/>
        </w:rPr>
        <w:t>industrie</w:t>
      </w:r>
      <w:r w:rsidRPr="00860BCD">
        <w:rPr>
          <w:b/>
          <w:i/>
        </w:rPr>
        <w:t xml:space="preserve"> rendu</w:t>
      </w:r>
    </w:p>
    <w:p w14:paraId="17AECE1A" w14:textId="4D8B4050" w:rsidR="003F6B47" w:rsidRPr="00FB3EBE" w:rsidRDefault="003F6B47" w:rsidP="003F6B47">
      <w:pPr>
        <w:tabs>
          <w:tab w:val="left" w:pos="7371"/>
        </w:tabs>
        <w:rPr>
          <w:bCs/>
        </w:rPr>
      </w:pPr>
      <w:r w:rsidRPr="00860BCD">
        <w:rPr>
          <w:sz w:val="20"/>
          <w:szCs w:val="20"/>
        </w:rPr>
        <w:t>Volume (en m3)</w:t>
      </w:r>
      <w:r>
        <w:rPr>
          <w:sz w:val="20"/>
          <w:szCs w:val="20"/>
        </w:rPr>
        <w:tab/>
      </w:r>
      <w:r>
        <w:rPr>
          <w:sz w:val="20"/>
          <w:szCs w:val="20"/>
        </w:rPr>
        <w:tab/>
        <w:t>Indice des prix</w:t>
      </w:r>
      <w:r w:rsidR="00BF78F7" w:rsidRPr="00BF78F7">
        <w:rPr>
          <w:bCs/>
          <w:noProof/>
          <w:lang w:eastAsia="fr-FR"/>
        </w:rPr>
        <w:drawing>
          <wp:inline distT="0" distB="0" distL="0" distR="0" wp14:anchorId="1D8FF4AD" wp14:editId="4092747A">
            <wp:extent cx="6153785" cy="2872226"/>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7854" cy="2874125"/>
                    </a:xfrm>
                    <a:prstGeom prst="rect">
                      <a:avLst/>
                    </a:prstGeom>
                    <a:noFill/>
                    <a:ln>
                      <a:noFill/>
                    </a:ln>
                  </pic:spPr>
                </pic:pic>
              </a:graphicData>
            </a:graphic>
          </wp:inline>
        </w:drawing>
      </w:r>
    </w:p>
    <w:p w14:paraId="71FDDC09" w14:textId="77777777" w:rsidR="00CA5D47" w:rsidRPr="00CA5D47" w:rsidRDefault="00CA5D47" w:rsidP="00CA5D47">
      <w:pPr>
        <w:tabs>
          <w:tab w:val="left" w:pos="7513"/>
        </w:tabs>
        <w:rPr>
          <w:sz w:val="18"/>
          <w:szCs w:val="18"/>
        </w:rPr>
      </w:pPr>
      <w:r w:rsidRPr="00CA5D47">
        <w:rPr>
          <w:sz w:val="18"/>
          <w:szCs w:val="18"/>
        </w:rPr>
        <w:t>Indice base 100 au 1</w:t>
      </w:r>
      <w:r w:rsidRPr="00CA5D47">
        <w:rPr>
          <w:sz w:val="18"/>
          <w:szCs w:val="18"/>
          <w:vertAlign w:val="superscript"/>
        </w:rPr>
        <w:t>er</w:t>
      </w:r>
      <w:r w:rsidRPr="00CA5D47">
        <w:rPr>
          <w:sz w:val="18"/>
          <w:szCs w:val="18"/>
        </w:rPr>
        <w:t xml:space="preserve"> trimestre 2008</w:t>
      </w:r>
    </w:p>
    <w:p w14:paraId="40F49032" w14:textId="6FC54BE8" w:rsidR="003F6B47" w:rsidRPr="001E1AA0" w:rsidRDefault="001E1AA0" w:rsidP="003F6B47">
      <w:pPr>
        <w:tabs>
          <w:tab w:val="left" w:pos="7371"/>
        </w:tabs>
        <w:rPr>
          <w:sz w:val="20"/>
          <w:szCs w:val="20"/>
        </w:rPr>
      </w:pPr>
      <w:r w:rsidRPr="001E1AA0">
        <w:t>Après une demande active en période de confinement, celle-ci ralentit accompagné de baisse de prix.</w:t>
      </w:r>
    </w:p>
    <w:p w14:paraId="014CB63E" w14:textId="77777777" w:rsidR="003F6B47" w:rsidRDefault="003F6B47" w:rsidP="003F6B47">
      <w:pPr>
        <w:tabs>
          <w:tab w:val="left" w:pos="7371"/>
        </w:tabs>
        <w:rPr>
          <w:sz w:val="20"/>
          <w:szCs w:val="20"/>
        </w:rPr>
      </w:pPr>
    </w:p>
    <w:p w14:paraId="76F82776" w14:textId="77777777" w:rsidR="003F6B47" w:rsidRDefault="003F6B47" w:rsidP="003F6B47">
      <w:pPr>
        <w:tabs>
          <w:tab w:val="left" w:pos="7371"/>
        </w:tabs>
        <w:rPr>
          <w:sz w:val="20"/>
          <w:szCs w:val="20"/>
        </w:rPr>
      </w:pPr>
    </w:p>
    <w:p w14:paraId="290EC9E3" w14:textId="77777777" w:rsidR="003F6B47" w:rsidRDefault="003F6B47" w:rsidP="003F6B47">
      <w:pPr>
        <w:tabs>
          <w:tab w:val="left" w:pos="7371"/>
        </w:tabs>
        <w:rPr>
          <w:sz w:val="20"/>
          <w:szCs w:val="20"/>
        </w:rPr>
      </w:pPr>
    </w:p>
    <w:p w14:paraId="3763DDC3" w14:textId="77777777" w:rsidR="003F6B47" w:rsidRDefault="003F6B47">
      <w:pPr>
        <w:spacing w:after="0" w:line="240" w:lineRule="auto"/>
        <w:rPr>
          <w:sz w:val="20"/>
          <w:szCs w:val="20"/>
        </w:rPr>
      </w:pPr>
      <w:r>
        <w:rPr>
          <w:sz w:val="20"/>
          <w:szCs w:val="20"/>
        </w:rPr>
        <w:br w:type="page"/>
      </w:r>
    </w:p>
    <w:p w14:paraId="0D3F4295" w14:textId="77777777" w:rsidR="00C62095" w:rsidRDefault="00632FFC" w:rsidP="003F6B47">
      <w:pPr>
        <w:numPr>
          <w:ilvl w:val="0"/>
          <w:numId w:val="1"/>
        </w:numPr>
      </w:pPr>
      <w:r w:rsidRPr="002D7573">
        <w:t>L’Epicéa et le Sapin</w:t>
      </w:r>
      <w:r w:rsidR="00E0003F">
        <w:t xml:space="preserve"> en bois d’œuvre</w:t>
      </w:r>
    </w:p>
    <w:p w14:paraId="4EE9FF35" w14:textId="77777777" w:rsidR="00C12F65" w:rsidRPr="002D7573" w:rsidRDefault="00C12F65" w:rsidP="00C12F65">
      <w:r>
        <w:t>Analyse portant sur le bois d’œuvre d’épicéa et de sapin rendu scierie hors qualité palette emballage.</w:t>
      </w:r>
    </w:p>
    <w:p w14:paraId="131DAFC1" w14:textId="08C8A654" w:rsidR="00E8404E" w:rsidRDefault="00F45F60" w:rsidP="00F45F60">
      <w:pPr>
        <w:jc w:val="center"/>
        <w:rPr>
          <w:b/>
          <w:i/>
        </w:rPr>
      </w:pPr>
      <w:r w:rsidRPr="00860BCD">
        <w:rPr>
          <w:b/>
          <w:i/>
        </w:rPr>
        <w:t>Evolution du prix moyen du bois d’œuvre rendu</w:t>
      </w:r>
      <w:r w:rsidR="00E8404E" w:rsidRPr="00E8404E">
        <w:rPr>
          <w:b/>
          <w:i/>
          <w:noProof/>
          <w:lang w:eastAsia="fr-FR"/>
        </w:rPr>
        <w:drawing>
          <wp:inline distT="0" distB="0" distL="0" distR="0" wp14:anchorId="041198FD" wp14:editId="2AEE38E2">
            <wp:extent cx="6254750" cy="3175155"/>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8414" cy="3177015"/>
                    </a:xfrm>
                    <a:prstGeom prst="rect">
                      <a:avLst/>
                    </a:prstGeom>
                    <a:noFill/>
                    <a:ln>
                      <a:noFill/>
                    </a:ln>
                  </pic:spPr>
                </pic:pic>
              </a:graphicData>
            </a:graphic>
          </wp:inline>
        </w:drawing>
      </w:r>
    </w:p>
    <w:p w14:paraId="5F375524" w14:textId="44D9DD99" w:rsidR="00F45F60" w:rsidRDefault="00F45F60" w:rsidP="00BF78F7">
      <w:pPr>
        <w:tabs>
          <w:tab w:val="left" w:pos="7371"/>
        </w:tabs>
        <w:rPr>
          <w:sz w:val="20"/>
          <w:szCs w:val="20"/>
        </w:rPr>
      </w:pPr>
      <w:r w:rsidRPr="00860BCD">
        <w:rPr>
          <w:sz w:val="20"/>
          <w:szCs w:val="20"/>
        </w:rPr>
        <w:t>Volume (en m3)</w:t>
      </w:r>
      <w:r>
        <w:rPr>
          <w:sz w:val="20"/>
          <w:szCs w:val="20"/>
        </w:rPr>
        <w:tab/>
      </w:r>
      <w:r w:rsidR="00C177AE">
        <w:rPr>
          <w:sz w:val="20"/>
          <w:szCs w:val="20"/>
        </w:rPr>
        <w:tab/>
      </w:r>
      <w:r>
        <w:rPr>
          <w:sz w:val="20"/>
          <w:szCs w:val="20"/>
        </w:rPr>
        <w:t>Indice des prix</w:t>
      </w:r>
    </w:p>
    <w:p w14:paraId="1310447E" w14:textId="77777777" w:rsidR="00CA5D47" w:rsidRPr="00CA5D47" w:rsidRDefault="00CA5D47" w:rsidP="00CA5D47">
      <w:pPr>
        <w:tabs>
          <w:tab w:val="left" w:pos="7513"/>
        </w:tabs>
        <w:rPr>
          <w:sz w:val="18"/>
          <w:szCs w:val="18"/>
        </w:rPr>
      </w:pPr>
      <w:r w:rsidRPr="00CA5D47">
        <w:rPr>
          <w:sz w:val="18"/>
          <w:szCs w:val="18"/>
        </w:rPr>
        <w:t>Indice base 100 au 1</w:t>
      </w:r>
      <w:r w:rsidRPr="00CA5D47">
        <w:rPr>
          <w:sz w:val="18"/>
          <w:szCs w:val="18"/>
          <w:vertAlign w:val="superscript"/>
        </w:rPr>
        <w:t>er</w:t>
      </w:r>
      <w:r w:rsidRPr="00CA5D47">
        <w:rPr>
          <w:sz w:val="18"/>
          <w:szCs w:val="18"/>
        </w:rPr>
        <w:t xml:space="preserve"> trimestre 2008</w:t>
      </w:r>
    </w:p>
    <w:p w14:paraId="02F71FEE" w14:textId="32EF35E3" w:rsidR="004B4EBF" w:rsidRPr="004B4EBF" w:rsidRDefault="004B4EBF" w:rsidP="004B4EBF">
      <w:pPr>
        <w:rPr>
          <w:bCs/>
        </w:rPr>
      </w:pPr>
      <w:r w:rsidRPr="004B4EBF">
        <w:rPr>
          <w:bCs/>
        </w:rPr>
        <w:t xml:space="preserve">Le redémarrage des attaques de scolyte sur le T2 2020 accentuent la baisse de l’Epicéa frais. Le bois </w:t>
      </w:r>
      <w:proofErr w:type="spellStart"/>
      <w:r w:rsidRPr="004B4EBF">
        <w:rPr>
          <w:bCs/>
        </w:rPr>
        <w:t>scolyté</w:t>
      </w:r>
      <w:proofErr w:type="spellEnd"/>
      <w:r w:rsidRPr="004B4EBF">
        <w:rPr>
          <w:bCs/>
        </w:rPr>
        <w:t xml:space="preserve"> n’étant pas comptabilisé sur les volumes charpentes.</w:t>
      </w:r>
    </w:p>
    <w:p w14:paraId="5D90A91A" w14:textId="77777777" w:rsidR="004B4EBF" w:rsidRPr="004B4EBF" w:rsidRDefault="004B4EBF" w:rsidP="004B4EBF">
      <w:pPr>
        <w:rPr>
          <w:bCs/>
        </w:rPr>
      </w:pPr>
      <w:r w:rsidRPr="004B4EBF">
        <w:rPr>
          <w:bCs/>
        </w:rPr>
        <w:t>Le Sapin est lui victime de dépérissement.</w:t>
      </w:r>
    </w:p>
    <w:p w14:paraId="2E3440AA" w14:textId="77777777" w:rsidR="00E0003F" w:rsidRDefault="00E0003F" w:rsidP="00F45F60">
      <w:pPr>
        <w:tabs>
          <w:tab w:val="left" w:pos="7513"/>
        </w:tabs>
        <w:rPr>
          <w:sz w:val="20"/>
          <w:szCs w:val="20"/>
        </w:rPr>
      </w:pPr>
    </w:p>
    <w:p w14:paraId="25A181C4" w14:textId="77777777" w:rsidR="003673D3" w:rsidRDefault="003673D3">
      <w:pPr>
        <w:spacing w:after="0" w:line="240" w:lineRule="auto"/>
        <w:rPr>
          <w:sz w:val="20"/>
          <w:szCs w:val="20"/>
        </w:rPr>
      </w:pPr>
      <w:r>
        <w:rPr>
          <w:sz w:val="20"/>
          <w:szCs w:val="20"/>
        </w:rPr>
        <w:br w:type="page"/>
      </w:r>
    </w:p>
    <w:p w14:paraId="3FFC0509" w14:textId="77777777" w:rsidR="00E0003F" w:rsidRPr="002D7573" w:rsidRDefault="00E0003F" w:rsidP="003F6B47">
      <w:pPr>
        <w:numPr>
          <w:ilvl w:val="0"/>
          <w:numId w:val="1"/>
        </w:numPr>
      </w:pPr>
      <w:r w:rsidRPr="002D7573">
        <w:t>L’Epicéa et le Sapin</w:t>
      </w:r>
      <w:r>
        <w:t xml:space="preserve"> en bois d’industrie</w:t>
      </w:r>
    </w:p>
    <w:p w14:paraId="4259F306" w14:textId="77777777" w:rsidR="00E0003F" w:rsidRDefault="003673D3" w:rsidP="00E0003F">
      <w:pPr>
        <w:rPr>
          <w:b/>
          <w:i/>
        </w:rPr>
      </w:pPr>
      <w:r>
        <w:t>Analyse portant sur le bois d’industrie d’épicéa et de sapin rendu usine.</w:t>
      </w:r>
    </w:p>
    <w:p w14:paraId="0FCD1555" w14:textId="77777777" w:rsidR="00E0003F" w:rsidRDefault="00E0003F" w:rsidP="00E0003F">
      <w:pPr>
        <w:jc w:val="center"/>
        <w:rPr>
          <w:b/>
          <w:i/>
        </w:rPr>
      </w:pPr>
      <w:r w:rsidRPr="00860BCD">
        <w:rPr>
          <w:b/>
          <w:i/>
        </w:rPr>
        <w:t>Evolution du prix moyen du bois d’</w:t>
      </w:r>
      <w:r w:rsidR="003673D3">
        <w:rPr>
          <w:b/>
          <w:i/>
        </w:rPr>
        <w:t>industrie</w:t>
      </w:r>
      <w:r w:rsidRPr="00860BCD">
        <w:rPr>
          <w:b/>
          <w:i/>
        </w:rPr>
        <w:t xml:space="preserve"> rendu</w:t>
      </w:r>
    </w:p>
    <w:p w14:paraId="3841C1EB" w14:textId="19C0E93B" w:rsidR="00B5246F" w:rsidRDefault="00E0003F" w:rsidP="00BF78F7">
      <w:pPr>
        <w:tabs>
          <w:tab w:val="left" w:pos="7371"/>
        </w:tabs>
      </w:pPr>
      <w:r w:rsidRPr="00860BCD">
        <w:rPr>
          <w:sz w:val="20"/>
          <w:szCs w:val="20"/>
        </w:rPr>
        <w:t>Volume (en m3)</w:t>
      </w:r>
      <w:r>
        <w:rPr>
          <w:sz w:val="20"/>
          <w:szCs w:val="20"/>
        </w:rPr>
        <w:tab/>
      </w:r>
      <w:r w:rsidR="00C177AE">
        <w:rPr>
          <w:sz w:val="20"/>
          <w:szCs w:val="20"/>
        </w:rPr>
        <w:tab/>
      </w:r>
      <w:r>
        <w:rPr>
          <w:sz w:val="20"/>
          <w:szCs w:val="20"/>
        </w:rPr>
        <w:t>Indice des prix</w:t>
      </w:r>
      <w:r w:rsidR="00BF78F7" w:rsidRPr="00BF78F7">
        <w:rPr>
          <w:noProof/>
          <w:lang w:eastAsia="fr-FR"/>
        </w:rPr>
        <w:drawing>
          <wp:inline distT="0" distB="0" distL="0" distR="0" wp14:anchorId="48203C7A" wp14:editId="3623E2CF">
            <wp:extent cx="6164285" cy="3130278"/>
            <wp:effectExtent l="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3553" cy="3134985"/>
                    </a:xfrm>
                    <a:prstGeom prst="rect">
                      <a:avLst/>
                    </a:prstGeom>
                    <a:noFill/>
                    <a:ln>
                      <a:noFill/>
                    </a:ln>
                  </pic:spPr>
                </pic:pic>
              </a:graphicData>
            </a:graphic>
          </wp:inline>
        </w:drawing>
      </w:r>
    </w:p>
    <w:p w14:paraId="72205EAD" w14:textId="77777777" w:rsidR="00CA5D47" w:rsidRPr="00CA5D47" w:rsidRDefault="00CA5D47" w:rsidP="00CA5D47">
      <w:pPr>
        <w:tabs>
          <w:tab w:val="left" w:pos="7513"/>
        </w:tabs>
        <w:rPr>
          <w:sz w:val="18"/>
          <w:szCs w:val="18"/>
        </w:rPr>
      </w:pPr>
      <w:r w:rsidRPr="00CA5D47">
        <w:rPr>
          <w:sz w:val="18"/>
          <w:szCs w:val="18"/>
        </w:rPr>
        <w:t>Indice base 100 au 1</w:t>
      </w:r>
      <w:r w:rsidRPr="00CA5D47">
        <w:rPr>
          <w:sz w:val="18"/>
          <w:szCs w:val="18"/>
          <w:vertAlign w:val="superscript"/>
        </w:rPr>
        <w:t>er</w:t>
      </w:r>
      <w:r w:rsidRPr="00CA5D47">
        <w:rPr>
          <w:sz w:val="18"/>
          <w:szCs w:val="18"/>
        </w:rPr>
        <w:t xml:space="preserve"> trimestre 2008</w:t>
      </w:r>
    </w:p>
    <w:p w14:paraId="0920B6AD" w14:textId="4DF712F2" w:rsidR="004B4EBF" w:rsidRPr="004B4EBF" w:rsidRDefault="004B4EBF" w:rsidP="004B4EBF">
      <w:pPr>
        <w:rPr>
          <w:bCs/>
        </w:rPr>
      </w:pPr>
      <w:r w:rsidRPr="004B4EBF">
        <w:rPr>
          <w:bCs/>
        </w:rPr>
        <w:t>La crise provoquée par les scolytes continue. Les bois de trituration Epicéa ne trouvent plus de débouché en pâte mécanique. Ils viennent encombrer le marché de la trituration classique (pate résineuse ou industrie du panneau) (commentaire maintenu pour T2 2020).</w:t>
      </w:r>
    </w:p>
    <w:p w14:paraId="51AABC42" w14:textId="77777777" w:rsidR="003673D3" w:rsidRDefault="003673D3" w:rsidP="003673D3">
      <w:pPr>
        <w:rPr>
          <w:color w:val="FF0000"/>
        </w:rPr>
      </w:pPr>
    </w:p>
    <w:p w14:paraId="1E050BC4" w14:textId="77777777" w:rsidR="003673D3" w:rsidRDefault="003673D3" w:rsidP="003673D3">
      <w:pPr>
        <w:rPr>
          <w:color w:val="FF0000"/>
        </w:rPr>
      </w:pPr>
    </w:p>
    <w:p w14:paraId="42A1253C" w14:textId="77777777" w:rsidR="003673D3" w:rsidRDefault="003673D3">
      <w:pPr>
        <w:spacing w:after="0" w:line="240" w:lineRule="auto"/>
        <w:rPr>
          <w:color w:val="FF0000"/>
        </w:rPr>
      </w:pPr>
      <w:r>
        <w:rPr>
          <w:color w:val="FF0000"/>
        </w:rPr>
        <w:br w:type="page"/>
      </w:r>
    </w:p>
    <w:p w14:paraId="3B1E5021" w14:textId="77777777" w:rsidR="00E54570" w:rsidRDefault="00E54570" w:rsidP="003F6B47">
      <w:pPr>
        <w:numPr>
          <w:ilvl w:val="0"/>
          <w:numId w:val="1"/>
        </w:numPr>
      </w:pPr>
      <w:r w:rsidRPr="002D7573">
        <w:t>Douglas</w:t>
      </w:r>
      <w:r w:rsidR="00E0003F">
        <w:t xml:space="preserve"> Bois d’œuvre</w:t>
      </w:r>
    </w:p>
    <w:p w14:paraId="14F4D9F5" w14:textId="77777777" w:rsidR="003673D3" w:rsidRPr="002D7573" w:rsidRDefault="003673D3" w:rsidP="003673D3">
      <w:r w:rsidRPr="003673D3">
        <w:t xml:space="preserve">Analyse portant sur le bois d’œuvre </w:t>
      </w:r>
      <w:r>
        <w:t>de douglas</w:t>
      </w:r>
      <w:r w:rsidRPr="003673D3">
        <w:t xml:space="preserve"> rendu scierie</w:t>
      </w:r>
      <w:r>
        <w:t>.</w:t>
      </w:r>
    </w:p>
    <w:p w14:paraId="105A48ED" w14:textId="77777777" w:rsidR="00F45F60" w:rsidRDefault="00F45F60" w:rsidP="00F45F60">
      <w:pPr>
        <w:jc w:val="center"/>
        <w:rPr>
          <w:b/>
          <w:i/>
        </w:rPr>
      </w:pPr>
      <w:r w:rsidRPr="00860BCD">
        <w:rPr>
          <w:b/>
          <w:i/>
        </w:rPr>
        <w:t>Evolution du prix moyen du bois d’œuvre rendu</w:t>
      </w:r>
    </w:p>
    <w:p w14:paraId="57FB51AC" w14:textId="73235C42" w:rsidR="00EB4DF3" w:rsidRDefault="00F45F60" w:rsidP="000519BE">
      <w:pPr>
        <w:tabs>
          <w:tab w:val="left" w:pos="7371"/>
        </w:tabs>
      </w:pPr>
      <w:r w:rsidRPr="00860BCD">
        <w:rPr>
          <w:sz w:val="20"/>
          <w:szCs w:val="20"/>
        </w:rPr>
        <w:t>Volume (en m3)</w:t>
      </w:r>
      <w:r>
        <w:rPr>
          <w:sz w:val="20"/>
          <w:szCs w:val="20"/>
        </w:rPr>
        <w:tab/>
      </w:r>
      <w:r w:rsidR="00B63C9A">
        <w:rPr>
          <w:sz w:val="20"/>
          <w:szCs w:val="20"/>
        </w:rPr>
        <w:tab/>
      </w:r>
      <w:r>
        <w:rPr>
          <w:sz w:val="20"/>
          <w:szCs w:val="20"/>
        </w:rPr>
        <w:t>Indice des prix</w:t>
      </w:r>
      <w:r w:rsidR="004B1521" w:rsidRPr="004B1521">
        <w:rPr>
          <w:noProof/>
          <w:sz w:val="20"/>
          <w:szCs w:val="20"/>
          <w:lang w:eastAsia="fr-FR"/>
        </w:rPr>
        <w:drawing>
          <wp:inline distT="0" distB="0" distL="0" distR="0" wp14:anchorId="40A5B72A" wp14:editId="3C669EDE">
            <wp:extent cx="6265545" cy="3214424"/>
            <wp:effectExtent l="0" t="0" r="1905"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2521" cy="3218003"/>
                    </a:xfrm>
                    <a:prstGeom prst="rect">
                      <a:avLst/>
                    </a:prstGeom>
                    <a:noFill/>
                    <a:ln>
                      <a:noFill/>
                    </a:ln>
                  </pic:spPr>
                </pic:pic>
              </a:graphicData>
            </a:graphic>
          </wp:inline>
        </w:drawing>
      </w:r>
    </w:p>
    <w:p w14:paraId="590A43D7" w14:textId="77777777" w:rsidR="00CA5D47" w:rsidRPr="00CA5D47" w:rsidRDefault="00CA5D47" w:rsidP="00CA5D47">
      <w:pPr>
        <w:tabs>
          <w:tab w:val="left" w:pos="7513"/>
        </w:tabs>
        <w:rPr>
          <w:sz w:val="18"/>
          <w:szCs w:val="18"/>
        </w:rPr>
      </w:pPr>
      <w:r w:rsidRPr="00CA5D47">
        <w:rPr>
          <w:sz w:val="18"/>
          <w:szCs w:val="18"/>
        </w:rPr>
        <w:t>Indice base 100 au 1</w:t>
      </w:r>
      <w:r w:rsidRPr="00CA5D47">
        <w:rPr>
          <w:sz w:val="18"/>
          <w:szCs w:val="18"/>
          <w:vertAlign w:val="superscript"/>
        </w:rPr>
        <w:t>er</w:t>
      </w:r>
      <w:r w:rsidRPr="00CA5D47">
        <w:rPr>
          <w:sz w:val="18"/>
          <w:szCs w:val="18"/>
        </w:rPr>
        <w:t xml:space="preserve"> trimestre 2008</w:t>
      </w:r>
    </w:p>
    <w:p w14:paraId="1FD47D10" w14:textId="5EDD08EF" w:rsidR="00261CFC" w:rsidRPr="00261CFC" w:rsidRDefault="00261CFC" w:rsidP="00261CFC">
      <w:pPr>
        <w:rPr>
          <w:bCs/>
          <w:i/>
        </w:rPr>
      </w:pPr>
      <w:r w:rsidRPr="00261CFC">
        <w:rPr>
          <w:bCs/>
        </w:rPr>
        <w:t xml:space="preserve">Les quantités de Douglas livrés augmentent au T2 2020 tirés par une demande soutenue et des prix à un niveau élevé. Les marchés de sciage sont toujours bons en Douglas. Aucune porosité, n’est à noter entre le marché baissier de l’Epicéa et celui haussier et fortement demandeur du Douglas. Toutes les catégories de Douglas augmentent y compris les gros bois. Le marché du sciage est bon que ce soit en bois de vêture qu’en charpente à l’export (Belgique et Pays-Bas). </w:t>
      </w:r>
    </w:p>
    <w:p w14:paraId="41997F7B" w14:textId="77777777" w:rsidR="003673D3" w:rsidRDefault="003673D3">
      <w:pPr>
        <w:spacing w:after="0" w:line="240" w:lineRule="auto"/>
      </w:pPr>
      <w:r>
        <w:br w:type="page"/>
      </w:r>
    </w:p>
    <w:p w14:paraId="38BC65FB" w14:textId="77777777" w:rsidR="00E0003F" w:rsidRPr="002D7573" w:rsidRDefault="00E0003F" w:rsidP="003F6B47">
      <w:pPr>
        <w:numPr>
          <w:ilvl w:val="0"/>
          <w:numId w:val="1"/>
        </w:numPr>
      </w:pPr>
      <w:r w:rsidRPr="002D7573">
        <w:t>Douglas</w:t>
      </w:r>
      <w:r>
        <w:t xml:space="preserve"> bois d’industrie</w:t>
      </w:r>
    </w:p>
    <w:p w14:paraId="2EA10EEC" w14:textId="77777777" w:rsidR="00E0003F" w:rsidRDefault="003673D3" w:rsidP="00A43EA4">
      <w:pPr>
        <w:rPr>
          <w:b/>
          <w:i/>
        </w:rPr>
      </w:pPr>
      <w:r>
        <w:t>Analyse portant sur le bois d’industrie de douglas rendu usine.</w:t>
      </w:r>
    </w:p>
    <w:p w14:paraId="73C64B2C" w14:textId="77777777" w:rsidR="00E0003F" w:rsidRDefault="00E0003F" w:rsidP="00E0003F">
      <w:pPr>
        <w:ind w:left="720"/>
        <w:jc w:val="center"/>
        <w:rPr>
          <w:b/>
          <w:i/>
        </w:rPr>
      </w:pPr>
      <w:r w:rsidRPr="00860BCD">
        <w:rPr>
          <w:b/>
          <w:i/>
        </w:rPr>
        <w:t>Evolution du prix moyen du bois d’</w:t>
      </w:r>
      <w:r>
        <w:rPr>
          <w:b/>
          <w:i/>
        </w:rPr>
        <w:t>industrie</w:t>
      </w:r>
      <w:r w:rsidRPr="00860BCD">
        <w:rPr>
          <w:b/>
          <w:i/>
        </w:rPr>
        <w:t xml:space="preserve"> rendu</w:t>
      </w:r>
    </w:p>
    <w:p w14:paraId="0D5916C8" w14:textId="6971C749" w:rsidR="000519BE" w:rsidRPr="00C177AE" w:rsidRDefault="00E0003F" w:rsidP="00C177AE">
      <w:pPr>
        <w:tabs>
          <w:tab w:val="left" w:pos="7371"/>
        </w:tabs>
        <w:rPr>
          <w:sz w:val="20"/>
          <w:szCs w:val="20"/>
        </w:rPr>
      </w:pPr>
      <w:r w:rsidRPr="00860BCD">
        <w:rPr>
          <w:sz w:val="20"/>
          <w:szCs w:val="20"/>
        </w:rPr>
        <w:t>Volume (en m3)</w:t>
      </w:r>
      <w:r w:rsidR="00C177AE">
        <w:rPr>
          <w:sz w:val="20"/>
          <w:szCs w:val="20"/>
        </w:rPr>
        <w:tab/>
      </w:r>
      <w:r w:rsidR="00C177AE">
        <w:rPr>
          <w:sz w:val="20"/>
          <w:szCs w:val="20"/>
        </w:rPr>
        <w:tab/>
        <w:t>Indice des prix</w:t>
      </w:r>
      <w:r w:rsidR="000519BE" w:rsidRPr="000519BE">
        <w:rPr>
          <w:noProof/>
          <w:sz w:val="20"/>
          <w:szCs w:val="20"/>
          <w:lang w:eastAsia="fr-FR"/>
        </w:rPr>
        <w:drawing>
          <wp:inline distT="0" distB="0" distL="0" distR="0" wp14:anchorId="609D8FE2" wp14:editId="29985644">
            <wp:extent cx="6409644" cy="3236863"/>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8903" cy="3251639"/>
                    </a:xfrm>
                    <a:prstGeom prst="rect">
                      <a:avLst/>
                    </a:prstGeom>
                    <a:noFill/>
                    <a:ln>
                      <a:noFill/>
                    </a:ln>
                  </pic:spPr>
                </pic:pic>
              </a:graphicData>
            </a:graphic>
          </wp:inline>
        </w:drawing>
      </w:r>
    </w:p>
    <w:p w14:paraId="1BECDBAC" w14:textId="77777777" w:rsidR="00CA5D47" w:rsidRPr="00CA5D47" w:rsidRDefault="00CA5D47" w:rsidP="00CA5D47">
      <w:pPr>
        <w:tabs>
          <w:tab w:val="left" w:pos="7513"/>
        </w:tabs>
        <w:rPr>
          <w:sz w:val="18"/>
          <w:szCs w:val="18"/>
        </w:rPr>
      </w:pPr>
      <w:r w:rsidRPr="00CA5D47">
        <w:rPr>
          <w:sz w:val="18"/>
          <w:szCs w:val="18"/>
        </w:rPr>
        <w:t>Indice base 100 au 1</w:t>
      </w:r>
      <w:r w:rsidRPr="00CA5D47">
        <w:rPr>
          <w:sz w:val="18"/>
          <w:szCs w:val="18"/>
          <w:vertAlign w:val="superscript"/>
        </w:rPr>
        <w:t>er</w:t>
      </w:r>
      <w:r w:rsidRPr="00CA5D47">
        <w:rPr>
          <w:sz w:val="18"/>
          <w:szCs w:val="18"/>
        </w:rPr>
        <w:t xml:space="preserve"> trimestre 2008</w:t>
      </w:r>
    </w:p>
    <w:p w14:paraId="7FB30786" w14:textId="79D9777A" w:rsidR="00261CFC" w:rsidRPr="00B44236" w:rsidRDefault="00261CFC" w:rsidP="00261CFC">
      <w:pPr>
        <w:rPr>
          <w:bCs/>
        </w:rPr>
      </w:pPr>
      <w:r w:rsidRPr="00B44236">
        <w:rPr>
          <w:bCs/>
        </w:rPr>
        <w:t>Au T2 2020, le marché de la trituration Douglas est pollué par la trituration d’Epicéa qui vient saturer les marchés, dans une demande faible notamment dans l’industrie du panneau.</w:t>
      </w:r>
    </w:p>
    <w:p w14:paraId="704C50B9" w14:textId="77777777" w:rsidR="00B5246F" w:rsidRPr="00DF1945" w:rsidRDefault="00B5246F" w:rsidP="00B5246F">
      <w:pPr>
        <w:jc w:val="center"/>
      </w:pPr>
    </w:p>
    <w:p w14:paraId="3AC1B0AF" w14:textId="70483B53" w:rsidR="00EE58B1" w:rsidRPr="00DF1945" w:rsidRDefault="003C4A5F" w:rsidP="00556F38">
      <w:pPr>
        <w:spacing w:after="0"/>
      </w:pPr>
      <w:r w:rsidRPr="00DF1945">
        <w:t xml:space="preserve">Ussel </w:t>
      </w:r>
      <w:r w:rsidRPr="00B44236">
        <w:t xml:space="preserve">le </w:t>
      </w:r>
      <w:r w:rsidR="00B44236" w:rsidRPr="00B44236">
        <w:t>26 aout</w:t>
      </w:r>
      <w:r w:rsidR="00DF1945" w:rsidRPr="00B44236">
        <w:t xml:space="preserve"> </w:t>
      </w:r>
      <w:r w:rsidR="005E2775" w:rsidRPr="00B44236">
        <w:t>2020</w:t>
      </w:r>
    </w:p>
    <w:p w14:paraId="33A3FD92" w14:textId="77777777" w:rsidR="00E54570" w:rsidRPr="00DF1945" w:rsidRDefault="00005E9A" w:rsidP="00556F38">
      <w:pPr>
        <w:spacing w:after="0"/>
        <w:rPr>
          <w:b/>
          <w:bCs/>
        </w:rPr>
      </w:pPr>
      <w:r w:rsidRPr="00DF1945">
        <w:rPr>
          <w:b/>
          <w:bCs/>
        </w:rPr>
        <w:t>Lionel Say</w:t>
      </w:r>
      <w:r w:rsidR="00556F38" w:rsidRPr="00DF1945">
        <w:rPr>
          <w:b/>
          <w:bCs/>
        </w:rPr>
        <w:t>, Gilles de Boncourt</w:t>
      </w:r>
    </w:p>
    <w:sectPr w:rsidR="00E54570" w:rsidRPr="00DF1945" w:rsidSect="00A32A87">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D15687" w14:textId="77777777" w:rsidR="00D21F67" w:rsidRDefault="00D21F67" w:rsidP="00980C48">
      <w:pPr>
        <w:spacing w:after="0" w:line="240" w:lineRule="auto"/>
      </w:pPr>
      <w:r>
        <w:separator/>
      </w:r>
    </w:p>
  </w:endnote>
  <w:endnote w:type="continuationSeparator" w:id="0">
    <w:p w14:paraId="20CCD5EA" w14:textId="77777777" w:rsidR="00D21F67" w:rsidRDefault="00D21F67" w:rsidP="0098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2CD23D" w14:textId="77777777" w:rsidR="00D21F67" w:rsidRDefault="00D21F67" w:rsidP="00980C48">
      <w:pPr>
        <w:spacing w:after="0" w:line="240" w:lineRule="auto"/>
      </w:pPr>
      <w:r>
        <w:separator/>
      </w:r>
    </w:p>
  </w:footnote>
  <w:footnote w:type="continuationSeparator" w:id="0">
    <w:p w14:paraId="4AC9F6C1" w14:textId="77777777" w:rsidR="00D21F67" w:rsidRDefault="00D21F67" w:rsidP="00980C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4D552" w14:textId="4A912AF7" w:rsidR="00980C48" w:rsidRDefault="00980C48">
    <w:pPr>
      <w:pStyle w:val="En-tte"/>
    </w:pPr>
    <w:r>
      <w:rPr>
        <w:noProof/>
        <w:lang w:eastAsia="fr-FR"/>
      </w:rPr>
      <w:drawing>
        <wp:inline distT="0" distB="0" distL="0" distR="0" wp14:anchorId="47F36761" wp14:editId="31809127">
          <wp:extent cx="1033335" cy="7366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s titre.png"/>
                  <pic:cNvPicPr/>
                </pic:nvPicPr>
                <pic:blipFill>
                  <a:blip r:embed="rId1">
                    <a:extLst>
                      <a:ext uri="{28A0092B-C50C-407E-A947-70E740481C1C}">
                        <a14:useLocalDpi xmlns:a14="http://schemas.microsoft.com/office/drawing/2010/main" val="0"/>
                      </a:ext>
                    </a:extLst>
                  </a:blip>
                  <a:stretch>
                    <a:fillRect/>
                  </a:stretch>
                </pic:blipFill>
                <pic:spPr>
                  <a:xfrm>
                    <a:off x="0" y="0"/>
                    <a:ext cx="1044493" cy="744554"/>
                  </a:xfrm>
                  <a:prstGeom prst="rect">
                    <a:avLst/>
                  </a:prstGeom>
                </pic:spPr>
              </pic:pic>
            </a:graphicData>
          </a:graphic>
        </wp:inline>
      </w:drawing>
    </w:r>
    <w:r>
      <w:tab/>
    </w:r>
    <w:r>
      <w:tab/>
    </w:r>
    <w:r>
      <w:rPr>
        <w:noProof/>
        <w:lang w:eastAsia="fr-FR"/>
      </w:rPr>
      <w:drawing>
        <wp:inline distT="0" distB="0" distL="0" distR="0" wp14:anchorId="685A229E" wp14:editId="447992CB">
          <wp:extent cx="1146048" cy="42062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GCF signature RVB.jpg"/>
                  <pic:cNvPicPr/>
                </pic:nvPicPr>
                <pic:blipFill>
                  <a:blip r:embed="rId2">
                    <a:extLst>
                      <a:ext uri="{28A0092B-C50C-407E-A947-70E740481C1C}">
                        <a14:useLocalDpi xmlns:a14="http://schemas.microsoft.com/office/drawing/2010/main" val="0"/>
                      </a:ext>
                    </a:extLst>
                  </a:blip>
                  <a:stretch>
                    <a:fillRect/>
                  </a:stretch>
                </pic:blipFill>
                <pic:spPr>
                  <a:xfrm>
                    <a:off x="0" y="0"/>
                    <a:ext cx="1146048" cy="420624"/>
                  </a:xfrm>
                  <a:prstGeom prst="rect">
                    <a:avLst/>
                  </a:prstGeom>
                </pic:spPr>
              </pic:pic>
            </a:graphicData>
          </a:graphic>
        </wp:inline>
      </w:drawing>
    </w:r>
  </w:p>
  <w:p w14:paraId="2F6AEBD6" w14:textId="77777777" w:rsidR="00980C48" w:rsidRDefault="00980C4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E4E45"/>
    <w:multiLevelType w:val="hybridMultilevel"/>
    <w:tmpl w:val="0246749C"/>
    <w:lvl w:ilvl="0" w:tplc="2146E3A8">
      <w:numFmt w:val="bullet"/>
      <w:lvlText w:val="-"/>
      <w:lvlJc w:val="left"/>
      <w:pPr>
        <w:ind w:left="2475"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71E7DAC"/>
    <w:multiLevelType w:val="hybridMultilevel"/>
    <w:tmpl w:val="DA9891F4"/>
    <w:lvl w:ilvl="0" w:tplc="B7108D5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5FE2C16"/>
    <w:multiLevelType w:val="hybridMultilevel"/>
    <w:tmpl w:val="DA9891F4"/>
    <w:lvl w:ilvl="0" w:tplc="B7108D5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4F21693"/>
    <w:multiLevelType w:val="hybridMultilevel"/>
    <w:tmpl w:val="58C62DDA"/>
    <w:lvl w:ilvl="0" w:tplc="1A1C2D26">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6036E4A"/>
    <w:multiLevelType w:val="hybridMultilevel"/>
    <w:tmpl w:val="DA9891F4"/>
    <w:lvl w:ilvl="0" w:tplc="B7108D5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AE302F6"/>
    <w:multiLevelType w:val="hybridMultilevel"/>
    <w:tmpl w:val="DA9891F4"/>
    <w:lvl w:ilvl="0" w:tplc="B7108D5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D793FF7"/>
    <w:multiLevelType w:val="hybridMultilevel"/>
    <w:tmpl w:val="DA9891F4"/>
    <w:lvl w:ilvl="0" w:tplc="B7108D5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5B"/>
    <w:rsid w:val="00005E9A"/>
    <w:rsid w:val="00012829"/>
    <w:rsid w:val="00012B6B"/>
    <w:rsid w:val="000519BE"/>
    <w:rsid w:val="00062770"/>
    <w:rsid w:val="00081EE6"/>
    <w:rsid w:val="000A507E"/>
    <w:rsid w:val="000D52C2"/>
    <w:rsid w:val="000E0C6D"/>
    <w:rsid w:val="000E530C"/>
    <w:rsid w:val="00117BA4"/>
    <w:rsid w:val="00120BCE"/>
    <w:rsid w:val="00133A7B"/>
    <w:rsid w:val="00137C5B"/>
    <w:rsid w:val="001559EA"/>
    <w:rsid w:val="00174073"/>
    <w:rsid w:val="001E1AA0"/>
    <w:rsid w:val="001E27AA"/>
    <w:rsid w:val="001E62FB"/>
    <w:rsid w:val="001F3EC5"/>
    <w:rsid w:val="00202EB5"/>
    <w:rsid w:val="00207A5F"/>
    <w:rsid w:val="00222DFC"/>
    <w:rsid w:val="00234141"/>
    <w:rsid w:val="00255431"/>
    <w:rsid w:val="00261CFC"/>
    <w:rsid w:val="0026312A"/>
    <w:rsid w:val="00274595"/>
    <w:rsid w:val="00282853"/>
    <w:rsid w:val="002840AD"/>
    <w:rsid w:val="002920ED"/>
    <w:rsid w:val="00294E62"/>
    <w:rsid w:val="002D270C"/>
    <w:rsid w:val="002D41E0"/>
    <w:rsid w:val="002D7573"/>
    <w:rsid w:val="002E0886"/>
    <w:rsid w:val="00301DD9"/>
    <w:rsid w:val="00357268"/>
    <w:rsid w:val="003673D3"/>
    <w:rsid w:val="003A4571"/>
    <w:rsid w:val="003B5893"/>
    <w:rsid w:val="003C4A5F"/>
    <w:rsid w:val="003C7AC2"/>
    <w:rsid w:val="003E0536"/>
    <w:rsid w:val="003F6B47"/>
    <w:rsid w:val="00461572"/>
    <w:rsid w:val="004670E3"/>
    <w:rsid w:val="00471499"/>
    <w:rsid w:val="00474A6E"/>
    <w:rsid w:val="004A3E73"/>
    <w:rsid w:val="004A7AB0"/>
    <w:rsid w:val="004B1521"/>
    <w:rsid w:val="004B4D5D"/>
    <w:rsid w:val="004B4EBF"/>
    <w:rsid w:val="004B5283"/>
    <w:rsid w:val="004C2E12"/>
    <w:rsid w:val="004D2703"/>
    <w:rsid w:val="005144BC"/>
    <w:rsid w:val="00520981"/>
    <w:rsid w:val="00522A10"/>
    <w:rsid w:val="005343FB"/>
    <w:rsid w:val="005423AA"/>
    <w:rsid w:val="0055310D"/>
    <w:rsid w:val="00556F38"/>
    <w:rsid w:val="00560755"/>
    <w:rsid w:val="005B36F0"/>
    <w:rsid w:val="005B4096"/>
    <w:rsid w:val="005C77F7"/>
    <w:rsid w:val="005E2775"/>
    <w:rsid w:val="005E3B98"/>
    <w:rsid w:val="005E5D46"/>
    <w:rsid w:val="005E6ACC"/>
    <w:rsid w:val="006042E0"/>
    <w:rsid w:val="00614B7A"/>
    <w:rsid w:val="00632FFC"/>
    <w:rsid w:val="00650892"/>
    <w:rsid w:val="006C58B7"/>
    <w:rsid w:val="006D4358"/>
    <w:rsid w:val="00713A16"/>
    <w:rsid w:val="00716693"/>
    <w:rsid w:val="00721EE6"/>
    <w:rsid w:val="00765230"/>
    <w:rsid w:val="0078370C"/>
    <w:rsid w:val="00784838"/>
    <w:rsid w:val="0078622E"/>
    <w:rsid w:val="007A0551"/>
    <w:rsid w:val="007B3BE8"/>
    <w:rsid w:val="007D604E"/>
    <w:rsid w:val="008010E7"/>
    <w:rsid w:val="00817623"/>
    <w:rsid w:val="008334BC"/>
    <w:rsid w:val="00853EA3"/>
    <w:rsid w:val="008547C0"/>
    <w:rsid w:val="00860BCD"/>
    <w:rsid w:val="00861A4C"/>
    <w:rsid w:val="00870D79"/>
    <w:rsid w:val="008C1B62"/>
    <w:rsid w:val="00916010"/>
    <w:rsid w:val="00923232"/>
    <w:rsid w:val="00963192"/>
    <w:rsid w:val="009675C7"/>
    <w:rsid w:val="00980C48"/>
    <w:rsid w:val="009815B5"/>
    <w:rsid w:val="009B131C"/>
    <w:rsid w:val="009B7CE4"/>
    <w:rsid w:val="00A226F0"/>
    <w:rsid w:val="00A27A30"/>
    <w:rsid w:val="00A32A87"/>
    <w:rsid w:val="00A425D6"/>
    <w:rsid w:val="00A43EA4"/>
    <w:rsid w:val="00A45EB6"/>
    <w:rsid w:val="00AD3324"/>
    <w:rsid w:val="00AF2300"/>
    <w:rsid w:val="00B016C8"/>
    <w:rsid w:val="00B44236"/>
    <w:rsid w:val="00B5246F"/>
    <w:rsid w:val="00B63C9A"/>
    <w:rsid w:val="00B75611"/>
    <w:rsid w:val="00B80F4C"/>
    <w:rsid w:val="00B955E4"/>
    <w:rsid w:val="00BB7B85"/>
    <w:rsid w:val="00BD39F4"/>
    <w:rsid w:val="00BE21FB"/>
    <w:rsid w:val="00BE3AA3"/>
    <w:rsid w:val="00BE5CA5"/>
    <w:rsid w:val="00BF78F7"/>
    <w:rsid w:val="00C12F65"/>
    <w:rsid w:val="00C177AE"/>
    <w:rsid w:val="00C56B28"/>
    <w:rsid w:val="00C62095"/>
    <w:rsid w:val="00C71DFF"/>
    <w:rsid w:val="00C74ACE"/>
    <w:rsid w:val="00C83A83"/>
    <w:rsid w:val="00CA5D47"/>
    <w:rsid w:val="00CD570E"/>
    <w:rsid w:val="00D21F67"/>
    <w:rsid w:val="00D41E1C"/>
    <w:rsid w:val="00D45AD7"/>
    <w:rsid w:val="00D57F37"/>
    <w:rsid w:val="00D607A0"/>
    <w:rsid w:val="00D87A24"/>
    <w:rsid w:val="00D95364"/>
    <w:rsid w:val="00DF1945"/>
    <w:rsid w:val="00E0003F"/>
    <w:rsid w:val="00E05112"/>
    <w:rsid w:val="00E11ABF"/>
    <w:rsid w:val="00E53A1D"/>
    <w:rsid w:val="00E54570"/>
    <w:rsid w:val="00E63148"/>
    <w:rsid w:val="00E6474D"/>
    <w:rsid w:val="00E8404E"/>
    <w:rsid w:val="00EA235A"/>
    <w:rsid w:val="00EB1937"/>
    <w:rsid w:val="00EB4DF3"/>
    <w:rsid w:val="00EC6E09"/>
    <w:rsid w:val="00EE58B1"/>
    <w:rsid w:val="00EF68B5"/>
    <w:rsid w:val="00F45F60"/>
    <w:rsid w:val="00F53C3E"/>
    <w:rsid w:val="00F851CA"/>
    <w:rsid w:val="00FB3EBE"/>
    <w:rsid w:val="00FB777C"/>
    <w:rsid w:val="00FE0009"/>
    <w:rsid w:val="00FE551A"/>
    <w:rsid w:val="00FF4F0D"/>
    <w:rsid w:val="00FF7D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C2835"/>
  <w15:chartTrackingRefBased/>
  <w15:docId w15:val="{A94487E6-B85E-4205-9A4B-8A7F9EAC7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A87"/>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F851CA"/>
    <w:pPr>
      <w:spacing w:after="0" w:line="240" w:lineRule="auto"/>
    </w:pPr>
    <w:rPr>
      <w:szCs w:val="21"/>
      <w:lang w:val="x-none"/>
    </w:rPr>
  </w:style>
  <w:style w:type="character" w:customStyle="1" w:styleId="TextebrutCar">
    <w:name w:val="Texte brut Car"/>
    <w:link w:val="Textebrut"/>
    <w:uiPriority w:val="99"/>
    <w:rsid w:val="00F851CA"/>
    <w:rPr>
      <w:sz w:val="22"/>
      <w:szCs w:val="21"/>
      <w:lang w:eastAsia="en-US"/>
    </w:rPr>
  </w:style>
  <w:style w:type="paragraph" w:styleId="Paragraphedeliste">
    <w:name w:val="List Paragraph"/>
    <w:basedOn w:val="Normal"/>
    <w:uiPriority w:val="34"/>
    <w:qFormat/>
    <w:rsid w:val="007B3BE8"/>
    <w:pPr>
      <w:spacing w:after="0" w:line="240" w:lineRule="auto"/>
      <w:ind w:left="720"/>
    </w:pPr>
  </w:style>
  <w:style w:type="paragraph" w:styleId="NormalWeb">
    <w:name w:val="Normal (Web)"/>
    <w:basedOn w:val="Normal"/>
    <w:uiPriority w:val="99"/>
    <w:semiHidden/>
    <w:unhideWhenUsed/>
    <w:rsid w:val="003C7AC2"/>
    <w:pPr>
      <w:spacing w:after="0" w:line="240" w:lineRule="auto"/>
    </w:pPr>
    <w:rPr>
      <w:rFonts w:ascii="Times New Roman" w:hAnsi="Times New Roman"/>
      <w:sz w:val="24"/>
      <w:szCs w:val="24"/>
      <w:lang w:eastAsia="fr-FR"/>
    </w:rPr>
  </w:style>
  <w:style w:type="paragraph" w:styleId="En-tte">
    <w:name w:val="header"/>
    <w:basedOn w:val="Normal"/>
    <w:link w:val="En-tteCar"/>
    <w:uiPriority w:val="99"/>
    <w:unhideWhenUsed/>
    <w:rsid w:val="00980C48"/>
    <w:pPr>
      <w:tabs>
        <w:tab w:val="center" w:pos="4536"/>
        <w:tab w:val="right" w:pos="9072"/>
      </w:tabs>
      <w:spacing w:after="0" w:line="240" w:lineRule="auto"/>
    </w:pPr>
  </w:style>
  <w:style w:type="character" w:customStyle="1" w:styleId="En-tteCar">
    <w:name w:val="En-tête Car"/>
    <w:basedOn w:val="Policepardfaut"/>
    <w:link w:val="En-tte"/>
    <w:uiPriority w:val="99"/>
    <w:rsid w:val="00980C48"/>
    <w:rPr>
      <w:sz w:val="22"/>
      <w:szCs w:val="22"/>
      <w:lang w:eastAsia="en-US"/>
    </w:rPr>
  </w:style>
  <w:style w:type="paragraph" w:styleId="Pieddepage">
    <w:name w:val="footer"/>
    <w:basedOn w:val="Normal"/>
    <w:link w:val="PieddepageCar"/>
    <w:uiPriority w:val="99"/>
    <w:unhideWhenUsed/>
    <w:rsid w:val="00980C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0C4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57311">
      <w:bodyDiv w:val="1"/>
      <w:marLeft w:val="0"/>
      <w:marRight w:val="0"/>
      <w:marTop w:val="0"/>
      <w:marBottom w:val="0"/>
      <w:divBdr>
        <w:top w:val="none" w:sz="0" w:space="0" w:color="auto"/>
        <w:left w:val="none" w:sz="0" w:space="0" w:color="auto"/>
        <w:bottom w:val="none" w:sz="0" w:space="0" w:color="auto"/>
        <w:right w:val="none" w:sz="0" w:space="0" w:color="auto"/>
      </w:divBdr>
    </w:div>
    <w:div w:id="165678499">
      <w:bodyDiv w:val="1"/>
      <w:marLeft w:val="0"/>
      <w:marRight w:val="0"/>
      <w:marTop w:val="0"/>
      <w:marBottom w:val="0"/>
      <w:divBdr>
        <w:top w:val="none" w:sz="0" w:space="0" w:color="auto"/>
        <w:left w:val="none" w:sz="0" w:space="0" w:color="auto"/>
        <w:bottom w:val="none" w:sz="0" w:space="0" w:color="auto"/>
        <w:right w:val="none" w:sz="0" w:space="0" w:color="auto"/>
      </w:divBdr>
    </w:div>
    <w:div w:id="183633308">
      <w:bodyDiv w:val="1"/>
      <w:marLeft w:val="0"/>
      <w:marRight w:val="0"/>
      <w:marTop w:val="0"/>
      <w:marBottom w:val="0"/>
      <w:divBdr>
        <w:top w:val="none" w:sz="0" w:space="0" w:color="auto"/>
        <w:left w:val="none" w:sz="0" w:space="0" w:color="auto"/>
        <w:bottom w:val="none" w:sz="0" w:space="0" w:color="auto"/>
        <w:right w:val="none" w:sz="0" w:space="0" w:color="auto"/>
      </w:divBdr>
    </w:div>
    <w:div w:id="184558355">
      <w:bodyDiv w:val="1"/>
      <w:marLeft w:val="0"/>
      <w:marRight w:val="0"/>
      <w:marTop w:val="0"/>
      <w:marBottom w:val="0"/>
      <w:divBdr>
        <w:top w:val="none" w:sz="0" w:space="0" w:color="auto"/>
        <w:left w:val="none" w:sz="0" w:space="0" w:color="auto"/>
        <w:bottom w:val="none" w:sz="0" w:space="0" w:color="auto"/>
        <w:right w:val="none" w:sz="0" w:space="0" w:color="auto"/>
      </w:divBdr>
    </w:div>
    <w:div w:id="229004010">
      <w:bodyDiv w:val="1"/>
      <w:marLeft w:val="0"/>
      <w:marRight w:val="0"/>
      <w:marTop w:val="0"/>
      <w:marBottom w:val="0"/>
      <w:divBdr>
        <w:top w:val="none" w:sz="0" w:space="0" w:color="auto"/>
        <w:left w:val="none" w:sz="0" w:space="0" w:color="auto"/>
        <w:bottom w:val="none" w:sz="0" w:space="0" w:color="auto"/>
        <w:right w:val="none" w:sz="0" w:space="0" w:color="auto"/>
      </w:divBdr>
    </w:div>
    <w:div w:id="295794303">
      <w:bodyDiv w:val="1"/>
      <w:marLeft w:val="0"/>
      <w:marRight w:val="0"/>
      <w:marTop w:val="0"/>
      <w:marBottom w:val="0"/>
      <w:divBdr>
        <w:top w:val="none" w:sz="0" w:space="0" w:color="auto"/>
        <w:left w:val="none" w:sz="0" w:space="0" w:color="auto"/>
        <w:bottom w:val="none" w:sz="0" w:space="0" w:color="auto"/>
        <w:right w:val="none" w:sz="0" w:space="0" w:color="auto"/>
      </w:divBdr>
    </w:div>
    <w:div w:id="369839877">
      <w:bodyDiv w:val="1"/>
      <w:marLeft w:val="0"/>
      <w:marRight w:val="0"/>
      <w:marTop w:val="0"/>
      <w:marBottom w:val="0"/>
      <w:divBdr>
        <w:top w:val="none" w:sz="0" w:space="0" w:color="auto"/>
        <w:left w:val="none" w:sz="0" w:space="0" w:color="auto"/>
        <w:bottom w:val="none" w:sz="0" w:space="0" w:color="auto"/>
        <w:right w:val="none" w:sz="0" w:space="0" w:color="auto"/>
      </w:divBdr>
    </w:div>
    <w:div w:id="426006479">
      <w:bodyDiv w:val="1"/>
      <w:marLeft w:val="0"/>
      <w:marRight w:val="0"/>
      <w:marTop w:val="0"/>
      <w:marBottom w:val="0"/>
      <w:divBdr>
        <w:top w:val="none" w:sz="0" w:space="0" w:color="auto"/>
        <w:left w:val="none" w:sz="0" w:space="0" w:color="auto"/>
        <w:bottom w:val="none" w:sz="0" w:space="0" w:color="auto"/>
        <w:right w:val="none" w:sz="0" w:space="0" w:color="auto"/>
      </w:divBdr>
    </w:div>
    <w:div w:id="551888725">
      <w:bodyDiv w:val="1"/>
      <w:marLeft w:val="0"/>
      <w:marRight w:val="0"/>
      <w:marTop w:val="0"/>
      <w:marBottom w:val="0"/>
      <w:divBdr>
        <w:top w:val="none" w:sz="0" w:space="0" w:color="auto"/>
        <w:left w:val="none" w:sz="0" w:space="0" w:color="auto"/>
        <w:bottom w:val="none" w:sz="0" w:space="0" w:color="auto"/>
        <w:right w:val="none" w:sz="0" w:space="0" w:color="auto"/>
      </w:divBdr>
    </w:div>
    <w:div w:id="661078509">
      <w:bodyDiv w:val="1"/>
      <w:marLeft w:val="0"/>
      <w:marRight w:val="0"/>
      <w:marTop w:val="0"/>
      <w:marBottom w:val="0"/>
      <w:divBdr>
        <w:top w:val="none" w:sz="0" w:space="0" w:color="auto"/>
        <w:left w:val="none" w:sz="0" w:space="0" w:color="auto"/>
        <w:bottom w:val="none" w:sz="0" w:space="0" w:color="auto"/>
        <w:right w:val="none" w:sz="0" w:space="0" w:color="auto"/>
      </w:divBdr>
    </w:div>
    <w:div w:id="796293082">
      <w:bodyDiv w:val="1"/>
      <w:marLeft w:val="0"/>
      <w:marRight w:val="0"/>
      <w:marTop w:val="0"/>
      <w:marBottom w:val="0"/>
      <w:divBdr>
        <w:top w:val="none" w:sz="0" w:space="0" w:color="auto"/>
        <w:left w:val="none" w:sz="0" w:space="0" w:color="auto"/>
        <w:bottom w:val="none" w:sz="0" w:space="0" w:color="auto"/>
        <w:right w:val="none" w:sz="0" w:space="0" w:color="auto"/>
      </w:divBdr>
    </w:div>
    <w:div w:id="883830216">
      <w:bodyDiv w:val="1"/>
      <w:marLeft w:val="0"/>
      <w:marRight w:val="0"/>
      <w:marTop w:val="0"/>
      <w:marBottom w:val="0"/>
      <w:divBdr>
        <w:top w:val="none" w:sz="0" w:space="0" w:color="auto"/>
        <w:left w:val="none" w:sz="0" w:space="0" w:color="auto"/>
        <w:bottom w:val="none" w:sz="0" w:space="0" w:color="auto"/>
        <w:right w:val="none" w:sz="0" w:space="0" w:color="auto"/>
      </w:divBdr>
    </w:div>
    <w:div w:id="936906769">
      <w:bodyDiv w:val="1"/>
      <w:marLeft w:val="0"/>
      <w:marRight w:val="0"/>
      <w:marTop w:val="0"/>
      <w:marBottom w:val="0"/>
      <w:divBdr>
        <w:top w:val="none" w:sz="0" w:space="0" w:color="auto"/>
        <w:left w:val="none" w:sz="0" w:space="0" w:color="auto"/>
        <w:bottom w:val="none" w:sz="0" w:space="0" w:color="auto"/>
        <w:right w:val="none" w:sz="0" w:space="0" w:color="auto"/>
      </w:divBdr>
    </w:div>
    <w:div w:id="1001080152">
      <w:bodyDiv w:val="1"/>
      <w:marLeft w:val="0"/>
      <w:marRight w:val="0"/>
      <w:marTop w:val="0"/>
      <w:marBottom w:val="0"/>
      <w:divBdr>
        <w:top w:val="none" w:sz="0" w:space="0" w:color="auto"/>
        <w:left w:val="none" w:sz="0" w:space="0" w:color="auto"/>
        <w:bottom w:val="none" w:sz="0" w:space="0" w:color="auto"/>
        <w:right w:val="none" w:sz="0" w:space="0" w:color="auto"/>
      </w:divBdr>
    </w:div>
    <w:div w:id="1014190211">
      <w:bodyDiv w:val="1"/>
      <w:marLeft w:val="0"/>
      <w:marRight w:val="0"/>
      <w:marTop w:val="0"/>
      <w:marBottom w:val="0"/>
      <w:divBdr>
        <w:top w:val="none" w:sz="0" w:space="0" w:color="auto"/>
        <w:left w:val="none" w:sz="0" w:space="0" w:color="auto"/>
        <w:bottom w:val="none" w:sz="0" w:space="0" w:color="auto"/>
        <w:right w:val="none" w:sz="0" w:space="0" w:color="auto"/>
      </w:divBdr>
    </w:div>
    <w:div w:id="1171213409">
      <w:bodyDiv w:val="1"/>
      <w:marLeft w:val="0"/>
      <w:marRight w:val="0"/>
      <w:marTop w:val="0"/>
      <w:marBottom w:val="0"/>
      <w:divBdr>
        <w:top w:val="none" w:sz="0" w:space="0" w:color="auto"/>
        <w:left w:val="none" w:sz="0" w:space="0" w:color="auto"/>
        <w:bottom w:val="none" w:sz="0" w:space="0" w:color="auto"/>
        <w:right w:val="none" w:sz="0" w:space="0" w:color="auto"/>
      </w:divBdr>
    </w:div>
    <w:div w:id="1274551569">
      <w:bodyDiv w:val="1"/>
      <w:marLeft w:val="0"/>
      <w:marRight w:val="0"/>
      <w:marTop w:val="0"/>
      <w:marBottom w:val="0"/>
      <w:divBdr>
        <w:top w:val="none" w:sz="0" w:space="0" w:color="auto"/>
        <w:left w:val="none" w:sz="0" w:space="0" w:color="auto"/>
        <w:bottom w:val="none" w:sz="0" w:space="0" w:color="auto"/>
        <w:right w:val="none" w:sz="0" w:space="0" w:color="auto"/>
      </w:divBdr>
    </w:div>
    <w:div w:id="1313876558">
      <w:bodyDiv w:val="1"/>
      <w:marLeft w:val="0"/>
      <w:marRight w:val="0"/>
      <w:marTop w:val="0"/>
      <w:marBottom w:val="0"/>
      <w:divBdr>
        <w:top w:val="none" w:sz="0" w:space="0" w:color="auto"/>
        <w:left w:val="none" w:sz="0" w:space="0" w:color="auto"/>
        <w:bottom w:val="none" w:sz="0" w:space="0" w:color="auto"/>
        <w:right w:val="none" w:sz="0" w:space="0" w:color="auto"/>
      </w:divBdr>
    </w:div>
    <w:div w:id="1526093737">
      <w:bodyDiv w:val="1"/>
      <w:marLeft w:val="0"/>
      <w:marRight w:val="0"/>
      <w:marTop w:val="0"/>
      <w:marBottom w:val="0"/>
      <w:divBdr>
        <w:top w:val="none" w:sz="0" w:space="0" w:color="auto"/>
        <w:left w:val="none" w:sz="0" w:space="0" w:color="auto"/>
        <w:bottom w:val="none" w:sz="0" w:space="0" w:color="auto"/>
        <w:right w:val="none" w:sz="0" w:space="0" w:color="auto"/>
      </w:divBdr>
    </w:div>
    <w:div w:id="1654871077">
      <w:bodyDiv w:val="1"/>
      <w:marLeft w:val="0"/>
      <w:marRight w:val="0"/>
      <w:marTop w:val="0"/>
      <w:marBottom w:val="0"/>
      <w:divBdr>
        <w:top w:val="none" w:sz="0" w:space="0" w:color="auto"/>
        <w:left w:val="none" w:sz="0" w:space="0" w:color="auto"/>
        <w:bottom w:val="none" w:sz="0" w:space="0" w:color="auto"/>
        <w:right w:val="none" w:sz="0" w:space="0" w:color="auto"/>
      </w:divBdr>
    </w:div>
    <w:div w:id="1660504401">
      <w:bodyDiv w:val="1"/>
      <w:marLeft w:val="0"/>
      <w:marRight w:val="0"/>
      <w:marTop w:val="0"/>
      <w:marBottom w:val="0"/>
      <w:divBdr>
        <w:top w:val="none" w:sz="0" w:space="0" w:color="auto"/>
        <w:left w:val="none" w:sz="0" w:space="0" w:color="auto"/>
        <w:bottom w:val="none" w:sz="0" w:space="0" w:color="auto"/>
        <w:right w:val="none" w:sz="0" w:space="0" w:color="auto"/>
      </w:divBdr>
    </w:div>
    <w:div w:id="1716079443">
      <w:bodyDiv w:val="1"/>
      <w:marLeft w:val="0"/>
      <w:marRight w:val="0"/>
      <w:marTop w:val="0"/>
      <w:marBottom w:val="0"/>
      <w:divBdr>
        <w:top w:val="none" w:sz="0" w:space="0" w:color="auto"/>
        <w:left w:val="none" w:sz="0" w:space="0" w:color="auto"/>
        <w:bottom w:val="none" w:sz="0" w:space="0" w:color="auto"/>
        <w:right w:val="none" w:sz="0" w:space="0" w:color="auto"/>
      </w:divBdr>
    </w:div>
    <w:div w:id="1759208873">
      <w:bodyDiv w:val="1"/>
      <w:marLeft w:val="0"/>
      <w:marRight w:val="0"/>
      <w:marTop w:val="0"/>
      <w:marBottom w:val="0"/>
      <w:divBdr>
        <w:top w:val="none" w:sz="0" w:space="0" w:color="auto"/>
        <w:left w:val="none" w:sz="0" w:space="0" w:color="auto"/>
        <w:bottom w:val="none" w:sz="0" w:space="0" w:color="auto"/>
        <w:right w:val="none" w:sz="0" w:space="0" w:color="auto"/>
      </w:divBdr>
    </w:div>
    <w:div w:id="1948540947">
      <w:bodyDiv w:val="1"/>
      <w:marLeft w:val="0"/>
      <w:marRight w:val="0"/>
      <w:marTop w:val="0"/>
      <w:marBottom w:val="0"/>
      <w:divBdr>
        <w:top w:val="none" w:sz="0" w:space="0" w:color="auto"/>
        <w:left w:val="none" w:sz="0" w:space="0" w:color="auto"/>
        <w:bottom w:val="none" w:sz="0" w:space="0" w:color="auto"/>
        <w:right w:val="none" w:sz="0" w:space="0" w:color="auto"/>
      </w:divBdr>
    </w:div>
    <w:div w:id="2021350165">
      <w:bodyDiv w:val="1"/>
      <w:marLeft w:val="0"/>
      <w:marRight w:val="0"/>
      <w:marTop w:val="0"/>
      <w:marBottom w:val="0"/>
      <w:divBdr>
        <w:top w:val="none" w:sz="0" w:space="0" w:color="auto"/>
        <w:left w:val="none" w:sz="0" w:space="0" w:color="auto"/>
        <w:bottom w:val="none" w:sz="0" w:space="0" w:color="auto"/>
        <w:right w:val="none" w:sz="0" w:space="0" w:color="auto"/>
      </w:divBdr>
    </w:div>
    <w:div w:id="211741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5AF0A-209C-4BAD-822E-A176BD5DC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511</Words>
  <Characters>2814</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Lionel Say</dc:creator>
  <cp:keywords>observatoire économique prix des bois</cp:keywords>
  <cp:lastModifiedBy>eric toppan</cp:lastModifiedBy>
  <cp:revision>12</cp:revision>
  <cp:lastPrinted>2012-05-15T08:33:00Z</cp:lastPrinted>
  <dcterms:created xsi:type="dcterms:W3CDTF">2020-08-25T15:46:00Z</dcterms:created>
  <dcterms:modified xsi:type="dcterms:W3CDTF">2020-08-31T13:57:00Z</dcterms:modified>
</cp:coreProperties>
</file>